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7"/>
        <w:gridCol w:w="4558"/>
      </w:tblGrid>
      <w:tr w14:paraId="7E39C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6" w:hRule="atLeast"/>
        </w:trPr>
        <w:tc>
          <w:tcPr>
            <w:tcW w:w="4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C647E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ru-RU"/>
              </w:rPr>
              <w:t>Дачное</w:t>
            </w:r>
            <w:r>
              <w:rPr>
                <w:rFonts w:hint="default" w:ascii="Arial" w:hAnsi="Arial" w:cs="Arial"/>
                <w:b/>
                <w:lang w:val="ru-RU"/>
              </w:rPr>
              <w:t xml:space="preserve"> некоммерческое товарищество </w:t>
            </w:r>
          </w:p>
          <w:p w14:paraId="6487A464">
            <w:pPr>
              <w:jc w:val="center"/>
              <w:rPr>
                <w:b/>
              </w:rPr>
            </w:pPr>
            <w:r>
              <w:rPr>
                <w:b/>
              </w:rPr>
              <w:t>«ВЫМПЕЛ»</w:t>
            </w:r>
          </w:p>
          <w:p w14:paraId="75F3EEF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МО Морского сельсовета Новосибирского района Новосибирской области, </w:t>
            </w:r>
          </w:p>
          <w:p w14:paraId="08E3F7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ОГРН 1065473073621, </w:t>
            </w:r>
          </w:p>
          <w:p w14:paraId="6286D0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ИНН 5408243009, КПП 543301001, Кор/сч.30101810145250000411 </w:t>
            </w:r>
          </w:p>
          <w:p w14:paraId="3336C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БИК 044525411,</w:t>
            </w:r>
            <w:r>
              <w:rPr>
                <w:rFonts w:ascii="Arial" w:hAnsi="Arial" w:cs="Arial"/>
              </w:rPr>
              <w:t xml:space="preserve"> </w:t>
            </w:r>
          </w:p>
          <w:p w14:paraId="5565942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Р/сч 40703810100430000368 Филиал «Центральный» Банка ВТБ (ПАО) в г.Москве</w:t>
            </w:r>
          </w:p>
          <w:p w14:paraId="5A343150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На вх. № </w:t>
            </w:r>
            <w:r>
              <w:rPr>
                <w:rFonts w:hint="default" w:ascii="Arial" w:hAnsi="Arial" w:cs="Arial"/>
                <w:u w:val="single"/>
                <w:lang w:val="ru-RU"/>
              </w:rPr>
              <w:t>3</w:t>
            </w:r>
            <w:r>
              <w:rPr>
                <w:rFonts w:ascii="Arial" w:hAnsi="Arial" w:cs="Arial"/>
                <w:u w:val="single"/>
              </w:rPr>
              <w:t xml:space="preserve"> от </w:t>
            </w:r>
            <w:r>
              <w:rPr>
                <w:rFonts w:hint="default" w:ascii="Arial" w:hAnsi="Arial" w:cs="Arial"/>
                <w:u w:val="single"/>
                <w:lang w:val="ru-RU"/>
              </w:rPr>
              <w:t>22</w:t>
            </w:r>
            <w:r>
              <w:rPr>
                <w:rFonts w:ascii="Arial" w:hAnsi="Arial" w:cs="Arial"/>
                <w:u w:val="single"/>
              </w:rPr>
              <w:t xml:space="preserve"> апреля 2026</w:t>
            </w:r>
          </w:p>
          <w:p w14:paraId="31441CB1">
            <w:pPr>
              <w:jc w:val="both"/>
              <w:rPr>
                <w:rFonts w:ascii="Calibri" w:hAnsi="Calibri" w:cs="Arimo"/>
                <w:b/>
              </w:rPr>
            </w:pPr>
            <w:r>
              <w:rPr>
                <w:rFonts w:ascii="Arial" w:hAnsi="Arial" w:cs="Arial"/>
              </w:rPr>
              <w:t xml:space="preserve">Исх. № </w:t>
            </w:r>
            <w:r>
              <w:rPr>
                <w:rFonts w:hint="default" w:ascii="Arial" w:hAnsi="Arial" w:cs="Arial"/>
                <w:lang w:val="ru-RU"/>
              </w:rPr>
              <w:t>5</w:t>
            </w:r>
            <w:r>
              <w:rPr>
                <w:rFonts w:ascii="Arial" w:hAnsi="Arial" w:cs="Arial"/>
              </w:rPr>
              <w:t xml:space="preserve"> от «</w:t>
            </w:r>
            <w:r>
              <w:rPr>
                <w:rFonts w:hint="default" w:ascii="Arial" w:hAnsi="Arial" w:cs="Arial"/>
                <w:lang w:val="ru-RU"/>
              </w:rPr>
              <w:t>19</w:t>
            </w:r>
            <w:r>
              <w:rPr>
                <w:rFonts w:ascii="Arial" w:hAnsi="Arial" w:cs="Arial"/>
              </w:rPr>
              <w:t xml:space="preserve">» </w:t>
            </w:r>
            <w:r>
              <w:rPr>
                <w:rFonts w:ascii="Arial" w:hAnsi="Arial" w:cs="Arial"/>
                <w:lang w:val="ru-RU"/>
              </w:rPr>
              <w:t>м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  <w:lang w:val="ru-RU"/>
              </w:rPr>
              <w:t>я</w:t>
            </w:r>
            <w:r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4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302833">
            <w:pPr>
              <w:jc w:val="center"/>
              <w:rPr>
                <w:rFonts w:hint="default"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Собственнику участка № 87, расположенному в пределах терр</w:t>
            </w:r>
            <w:r>
              <w:rPr>
                <w:rFonts w:ascii="Arial" w:hAnsi="Arial" w:cs="Arial"/>
                <w:b/>
                <w:lang w:val="ru-RU"/>
              </w:rPr>
              <w:t>итории</w:t>
            </w:r>
            <w:r>
              <w:rPr>
                <w:rFonts w:hint="default" w:ascii="Arial" w:hAnsi="Arial" w:cs="Arial"/>
                <w:b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val="ru-RU"/>
              </w:rPr>
              <w:t>ДНТ</w:t>
            </w:r>
            <w:r>
              <w:rPr>
                <w:rFonts w:hint="default" w:ascii="Arial" w:hAnsi="Arial" w:cs="Arial"/>
                <w:b/>
                <w:lang w:val="ru-RU"/>
              </w:rPr>
              <w:t xml:space="preserve"> «Вымпел»</w:t>
            </w:r>
          </w:p>
          <w:p w14:paraId="520027A3">
            <w:pPr>
              <w:jc w:val="center"/>
              <w:rPr>
                <w:rFonts w:ascii="Calibri" w:hAnsi="Calibri" w:cs="Arimo"/>
                <w:b/>
              </w:rPr>
            </w:pPr>
          </w:p>
        </w:tc>
      </w:tr>
    </w:tbl>
    <w:p w14:paraId="2A299B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Уважаемая </w:t>
      </w:r>
      <w:r>
        <w:rPr>
          <w:rFonts w:hint="default" w:ascii="Arial" w:hAnsi="Arial" w:cs="Arial"/>
          <w:b/>
          <w:lang w:val="ru-RU"/>
        </w:rPr>
        <w:t>...</w:t>
      </w:r>
      <w:r>
        <w:rPr>
          <w:rFonts w:ascii="Arial" w:hAnsi="Arial" w:cs="Arial"/>
          <w:b/>
        </w:rPr>
        <w:t>!</w:t>
      </w:r>
    </w:p>
    <w:p w14:paraId="43E9629B">
      <w:pPr>
        <w:pStyle w:val="7"/>
        <w:shd w:val="clear" w:color="auto" w:fill="FFFFFF"/>
        <w:spacing w:before="0" w:beforeAutospacing="0" w:after="0" w:afterAutospacing="0"/>
        <w:ind w:firstLine="540"/>
        <w:jc w:val="both"/>
        <w:outlineLvl w:val="1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На Ваше заявление (рег. № </w:t>
      </w:r>
      <w:r>
        <w:rPr>
          <w:rFonts w:hint="default" w:ascii="Arial" w:hAnsi="Arial" w:cs="Arial"/>
          <w:lang w:val="ru-RU"/>
        </w:rPr>
        <w:t>3</w:t>
      </w:r>
      <w:r>
        <w:rPr>
          <w:rFonts w:ascii="Arial" w:hAnsi="Arial" w:cs="Arial"/>
        </w:rPr>
        <w:t xml:space="preserve"> от </w:t>
      </w:r>
      <w:r>
        <w:rPr>
          <w:rFonts w:hint="default" w:ascii="Arial" w:hAnsi="Arial" w:cs="Arial"/>
          <w:lang w:val="ru-RU"/>
        </w:rPr>
        <w:t>22</w:t>
      </w:r>
      <w:r>
        <w:rPr>
          <w:rFonts w:ascii="Arial" w:hAnsi="Arial" w:cs="Arial"/>
        </w:rPr>
        <w:t xml:space="preserve"> апреля 2026 года), сообщаю, что</w:t>
      </w:r>
      <w:r>
        <w:rPr>
          <w:rFonts w:hint="default" w:ascii="Arial" w:hAnsi="Arial" w:cs="Arial"/>
          <w:lang w:val="ru-RU"/>
        </w:rPr>
        <w:t xml:space="preserve"> оно рассмотрено на заседании правления ДНТ «Вымпел (далее - Товарищество) 14 мая 2026 года. </w:t>
      </w:r>
    </w:p>
    <w:p w14:paraId="5A1306D9">
      <w:pPr>
        <w:pStyle w:val="7"/>
        <w:shd w:val="clear" w:color="auto" w:fill="FFFFFF"/>
        <w:spacing w:before="0" w:beforeAutospacing="0" w:after="0" w:afterAutospacing="0"/>
        <w:ind w:firstLine="540"/>
        <w:jc w:val="both"/>
        <w:outlineLvl w:val="1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 xml:space="preserve">При выработке решения было отмечено, что линейный объект «Электрические сети ДНТ «Вымпел» был обустроен в 2010 - 2014 годах </w:t>
      </w: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>на личные средства членов ДНТ «Вымпел» (за счет сбора целевых взносов): был подготовлен проект электрификации товарищества и построены электрические сети, которые были оформлены (зарегистрированы в Росреестре) в 2022 году в собственность ДНТ «Вымпел». В</w:t>
      </w:r>
      <w:r>
        <w:rPr>
          <w:rFonts w:hint="default" w:ascii="Arial" w:hAnsi="Arial" w:cs="Arial"/>
          <w:lang w:val="ru-RU"/>
        </w:rPr>
        <w:t xml:space="preserve"> 2025 году на общем собрании принято решение о передаче объекта в долевую собственность членов ДНТ «Вымпел» - инвесторов этого объекта инфраструктуры Товарищества и в настоящее время начинается процесс оформления соответствующих документов.</w:t>
      </w:r>
    </w:p>
    <w:p w14:paraId="2971D9E8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При этом земельный участок № 87 является выделенным из участка № 45 в 2023 году, не входит в Генплан ДНТ «Вымпел», не предусмотрен Планом застройки, на него не выделялись электрические мощности - лимиты в Технических условиях, а собственники этого участка не вносили целевые взносы, не участвовали (и не могли этого сделать) в строительстве этого объекта. </w:t>
      </w:r>
    </w:p>
    <w:p w14:paraId="2BE4B7D9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В то же время, согласно предварительному расчету, можно сделать заключение о возможности подключения дополнительных потребителей к электрическим сетям, выделив им до 14,5 Квт (требуется информация о мощности предполагаемого к использованию и (или) установке в доме  электрического оборудования) без ущерба для остальных потребителей - собственников,  и, при соответствующем решении общего собрания собственников недвижимости - членов ДНТ «Вымпел», на основании действующего законодательства в сфере потребления электрической энергии, порядка технологического подключения к частным электрическим сетям, и при условии заключения соответствующего договора и внесения определенной договором суммы денежных средств на расчетный счет ДНТ «Вымпел»  - целевого взноса в соответствии с Федеральным законом № 217-ФЗ и Гражданским кодексом РФ (т.е. на возмездной основе, в соответствии с условиями заключенного договора). </w:t>
      </w:r>
    </w:p>
    <w:p w14:paraId="511C36D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Только в этом случае председатель ДНТ «Вымпел» будет иметь право подготовить и подписать соответствующие документы. Поступившая сумма будет использована на содержание электрических сетей,  уставные цели ДНТ «Вымпел», другой инфраструктуры товарищества. </w:t>
      </w:r>
    </w:p>
    <w:p w14:paraId="715C5F04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Также довожу до Вашего сведения, что исходя из смысла и сути ранее принятых решений общих собраний ДНТ «Вымпел» (2019 - 2025), в том числе внесенных в Устав, подключаемые новые потребители не будут являться собственниками этих сетей. </w:t>
      </w:r>
    </w:p>
    <w:p w14:paraId="4F72898A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>Однако при соответствующем решении общего собрания собственников недвижимости - членов ДНТ «Вымпел», в период, пока ни один собственник не оформил в Росреестре свою долю в собственность на электрические сети, именно собственник участка № 87 может быть не только подключен к электрическим сетям Товарищества, но и стать и долевым собственником линейного объекта «Электрические сети ДНТ «Вымпел», нести солидарную ответственность за его содержание и функционирование.</w:t>
      </w:r>
    </w:p>
    <w:p w14:paraId="1DB4BA81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>В ходе обсуждения на заседании правления был утвержден алгоритм действий председателя правления и энергетика при положительном двухстороннем решении вопроса по существу: при своевременном внесении целевого взноса и соответствующем решении общего собрания, которое состоится 30 мая 2026 года.</w:t>
      </w:r>
    </w:p>
    <w:p w14:paraId="6A4C0BCB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ab/>
      </w: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Таким образом, после выполнения всех указанных выше условий, председатель правления ДНТ «Вымпел» - исполнительный орган Товарищества по исполнению утвержденной общим собранием сметы и решений общего собрания, будет иметь право подготовить и подписать соответствующие документы. При этом поступившая сумма будет использована на совершенствование, ремонт и содержание электрических сетей, другой инфраструктуры Товарищества, на уставные цели ДНТ «Вымпел». </w:t>
      </w: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ab/>
      </w:r>
    </w:p>
    <w:p w14:paraId="1C1B47C7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</w:p>
    <w:p w14:paraId="6B9E5E46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С уважением, </w:t>
      </w:r>
    </w:p>
    <w:p w14:paraId="356EDC3A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>П</w:t>
      </w:r>
      <w:r>
        <w:rPr>
          <w:rFonts w:ascii="Arial" w:hAnsi="Arial" w:cs="Arial"/>
        </w:rPr>
        <w:t xml:space="preserve">редседатель днт «Вымпел»                </w:t>
      </w:r>
      <w:r>
        <w:rPr>
          <w:rFonts w:hint="default" w:ascii="Arial" w:hAnsi="Arial" w:cs="Arial"/>
          <w:lang w:val="ru-RU"/>
        </w:rPr>
        <w:t xml:space="preserve">      </w:t>
      </w:r>
      <w:r>
        <w:rPr>
          <w:rFonts w:hint="default" w:ascii="Arial" w:hAnsi="Arial" w:cs="Arial"/>
          <w:lang w:val="ru-RU"/>
        </w:rPr>
        <w:tab/>
      </w:r>
      <w:r>
        <w:rPr>
          <w:rFonts w:hint="default" w:ascii="Arial" w:hAnsi="Arial" w:cs="Arial"/>
          <w:lang w:val="ru-RU"/>
        </w:rPr>
        <w:tab/>
      </w:r>
      <w:r>
        <w:rPr>
          <w:rFonts w:hint="default" w:ascii="Arial" w:hAnsi="Arial" w:cs="Arial"/>
          <w:lang w:val="ru-RU"/>
        </w:rPr>
        <w:tab/>
      </w:r>
      <w:r>
        <w:rPr>
          <w:rFonts w:ascii="Arial" w:hAnsi="Arial" w:cs="Arial"/>
        </w:rPr>
        <w:t>С.Г. Елгин</w:t>
      </w:r>
    </w:p>
    <w:p w14:paraId="7B8BD3C1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  </w:t>
      </w:r>
    </w:p>
    <w:p w14:paraId="3993C98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0"/>
          <w:szCs w:val="20"/>
          <w:lang w:val="ru-RU"/>
        </w:rPr>
      </w:pPr>
    </w:p>
    <w:p w14:paraId="00C05387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>Исп. Елгин</w:t>
      </w:r>
    </w:p>
    <w:p w14:paraId="5EE2F4B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>8 -923-706-33-03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m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52E"/>
    <w:rsid w:val="0005019E"/>
    <w:rsid w:val="000B38B3"/>
    <w:rsid w:val="000C621B"/>
    <w:rsid w:val="00472241"/>
    <w:rsid w:val="007275AD"/>
    <w:rsid w:val="0077430A"/>
    <w:rsid w:val="0078368D"/>
    <w:rsid w:val="00793686"/>
    <w:rsid w:val="007A7457"/>
    <w:rsid w:val="008C5702"/>
    <w:rsid w:val="008F03B9"/>
    <w:rsid w:val="008F5535"/>
    <w:rsid w:val="00904B2A"/>
    <w:rsid w:val="00974B61"/>
    <w:rsid w:val="009D21AF"/>
    <w:rsid w:val="00A27724"/>
    <w:rsid w:val="00B0352E"/>
    <w:rsid w:val="00B431B3"/>
    <w:rsid w:val="00B9350C"/>
    <w:rsid w:val="00D03491"/>
    <w:rsid w:val="00DE6AA0"/>
    <w:rsid w:val="00E6747F"/>
    <w:rsid w:val="00E85157"/>
    <w:rsid w:val="00F365D7"/>
    <w:rsid w:val="09510593"/>
    <w:rsid w:val="0B6B4077"/>
    <w:rsid w:val="0C8753CC"/>
    <w:rsid w:val="11CD6416"/>
    <w:rsid w:val="259F1096"/>
    <w:rsid w:val="2C106849"/>
    <w:rsid w:val="3785389C"/>
    <w:rsid w:val="47405975"/>
    <w:rsid w:val="49DE368B"/>
    <w:rsid w:val="49EC3FFA"/>
    <w:rsid w:val="51ED6B61"/>
    <w:rsid w:val="54125200"/>
    <w:rsid w:val="5D9B28E1"/>
    <w:rsid w:val="5FCB6008"/>
    <w:rsid w:val="635307EE"/>
    <w:rsid w:val="6CB5251A"/>
    <w:rsid w:val="6D3276C6"/>
    <w:rsid w:val="6ECF78C3"/>
    <w:rsid w:val="746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240" w:lineRule="auto"/>
    </w:pPr>
    <w:rPr>
      <w:rFonts w:ascii="Arimo" w:hAnsi="Arimo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Normal (Web)"/>
    <w:basedOn w:val="1"/>
    <w:unhideWhenUsed/>
    <w:qFormat/>
    <w:uiPriority w:val="99"/>
    <w:pPr>
      <w:widowControl/>
    </w:pPr>
    <w:rPr>
      <w:rFonts w:ascii="Times New Roman" w:hAnsi="Times New Roman"/>
      <w:color w:val="auto"/>
    </w:rPr>
  </w:style>
  <w:style w:type="table" w:styleId="8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no-indent"/>
    <w:basedOn w:val="1"/>
    <w:qFormat/>
    <w:uiPriority w:val="0"/>
    <w:pPr>
      <w:widowControl/>
    </w:pPr>
    <w:rPr>
      <w:rFonts w:ascii="Times New Roman" w:hAnsi="Times New Roman"/>
      <w:color w:val="auto"/>
    </w:rPr>
  </w:style>
  <w:style w:type="paragraph" w:customStyle="1" w:styleId="10">
    <w:name w:val="h"/>
    <w:basedOn w:val="1"/>
    <w:qFormat/>
    <w:uiPriority w:val="0"/>
    <w:pPr>
      <w:widowControl/>
    </w:pPr>
    <w:rPr>
      <w:rFonts w:ascii="Times New Roman" w:hAnsi="Times New Roman"/>
      <w:color w:val="auto"/>
    </w:rPr>
  </w:style>
  <w:style w:type="character" w:customStyle="1" w:styleId="11">
    <w:name w:val="ed"/>
    <w:basedOn w:val="2"/>
    <w:qFormat/>
    <w:uiPriority w:val="0"/>
  </w:style>
  <w:style w:type="paragraph" w:customStyle="1" w:styleId="12">
    <w:name w:val="p"/>
    <w:basedOn w:val="1"/>
    <w:qFormat/>
    <w:uiPriority w:val="0"/>
    <w:pPr>
      <w:widowControl/>
    </w:pPr>
    <w:rPr>
      <w:rFonts w:ascii="Times New Roman" w:hAnsi="Times New Roman"/>
      <w:color w:val="auto"/>
    </w:rPr>
  </w:style>
  <w:style w:type="character" w:customStyle="1" w:styleId="13">
    <w:name w:val="mark"/>
    <w:basedOn w:val="2"/>
    <w:qFormat/>
    <w:uiPriority w:val="0"/>
  </w:style>
  <w:style w:type="character" w:customStyle="1" w:styleId="14">
    <w:name w:val="w9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568</Words>
  <Characters>3669</Characters>
  <Lines>28</Lines>
  <Paragraphs>7</Paragraphs>
  <TotalTime>49</TotalTime>
  <ScaleCrop>false</ScaleCrop>
  <LinksUpToDate>false</LinksUpToDate>
  <CharactersWithSpaces>4259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2026-04-30T11:00:00Z</dcterms:created>
  <dc:creator>User</dc:creator>
  <cp:lastModifiedBy>User</cp:lastModifiedBy>
  <cp:lastPrinted>2026-05-18T17:16:00Z</cp:lastPrinted>
  <dcterms:modified xsi:type="dcterms:W3CDTF">2026-05-24T06:08:04Z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eyJoZGlkIjoiMzZjNDgxNDMzYWRmN2RjY2RiNjI5ZTc2N2U4MjlmZDYifQ==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DE78DCEB4A13493A87C26DF2EE71951B_12</vt:lpwstr>
  </property>
</Properties>
</file>