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8D2" w:rsidRPr="004558D2" w:rsidRDefault="004558D2" w:rsidP="004558D2">
      <w:pPr>
        <w:shd w:val="clear" w:color="auto" w:fill="FFFFFF"/>
        <w:spacing w:after="257" w:line="514" w:lineRule="atLeast"/>
        <w:outlineLvl w:val="0"/>
        <w:rPr>
          <w:rFonts w:ascii="Segoe UI" w:eastAsia="Times New Roman" w:hAnsi="Segoe UI" w:cs="Segoe UI"/>
          <w:b/>
          <w:bCs/>
          <w:spacing w:val="4"/>
          <w:kern w:val="36"/>
          <w:sz w:val="46"/>
          <w:szCs w:val="46"/>
          <w:lang w:eastAsia="ru-RU"/>
        </w:rPr>
      </w:pPr>
      <w:r w:rsidRPr="004558D2">
        <w:rPr>
          <w:rFonts w:ascii="Segoe UI" w:eastAsia="Times New Roman" w:hAnsi="Segoe UI" w:cs="Segoe UI"/>
          <w:b/>
          <w:bCs/>
          <w:spacing w:val="4"/>
          <w:kern w:val="36"/>
          <w:sz w:val="46"/>
          <w:szCs w:val="46"/>
          <w:highlight w:val="cyan"/>
          <w:lang w:eastAsia="ru-RU"/>
        </w:rPr>
        <w:t>Решение хищения и недоучета в СНТ</w:t>
      </w:r>
    </w:p>
    <w:p w:rsidR="004558D2" w:rsidRPr="004558D2" w:rsidRDefault="004558D2" w:rsidP="004558D2">
      <w:pPr>
        <w:shd w:val="clear" w:color="auto" w:fill="FFFFFF"/>
        <w:spacing w:after="0" w:line="257" w:lineRule="atLeast"/>
        <w:rPr>
          <w:rFonts w:ascii="Segoe UI" w:eastAsia="Times New Roman" w:hAnsi="Segoe UI" w:cs="Segoe UI"/>
          <w:spacing w:val="1"/>
          <w:sz w:val="21"/>
          <w:szCs w:val="21"/>
          <w:lang w:eastAsia="ru-RU"/>
        </w:rPr>
      </w:pPr>
      <w:r w:rsidRPr="004558D2">
        <w:rPr>
          <w:rFonts w:ascii="Segoe UI" w:eastAsia="Times New Roman" w:hAnsi="Segoe UI" w:cs="Segoe UI"/>
          <w:spacing w:val="1"/>
          <w:sz w:val="21"/>
          <w:lang w:eastAsia="ru-RU"/>
        </w:rPr>
        <w:t>22 июля 2025</w:t>
      </w:r>
    </w:p>
    <w:p w:rsidR="004558D2" w:rsidRPr="004558D2" w:rsidRDefault="004558D2" w:rsidP="004558D2">
      <w:pPr>
        <w:shd w:val="clear" w:color="auto" w:fill="A8D0E8"/>
        <w:spacing w:after="0" w:line="240" w:lineRule="auto"/>
        <w:ind w:hanging="12857"/>
        <w:rPr>
          <w:rFonts w:ascii="Segoe UI" w:eastAsia="Times New Roman" w:hAnsi="Segoe UI" w:cs="Segoe UI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sz w:val="27"/>
          <w:szCs w:val="27"/>
          <w:lang w:eastAsia="ru-RU"/>
        </w:rPr>
        <w:br w:type="textWrapping" w:clear="all"/>
      </w:r>
    </w:p>
    <w:p w:rsidR="004558D2" w:rsidRPr="004558D2" w:rsidRDefault="004558D2" w:rsidP="004558D2">
      <w:pPr>
        <w:shd w:val="clear" w:color="auto" w:fill="FFFFFF"/>
        <w:spacing w:after="103" w:line="257" w:lineRule="atLeast"/>
        <w:rPr>
          <w:rFonts w:ascii="Segoe UI" w:eastAsia="Times New Roman" w:hAnsi="Segoe UI" w:cs="Segoe UI"/>
          <w:spacing w:val="1"/>
          <w:sz w:val="21"/>
          <w:szCs w:val="21"/>
          <w:lang w:eastAsia="ru-RU"/>
        </w:rPr>
      </w:pPr>
      <w:r w:rsidRPr="004558D2">
        <w:rPr>
          <w:rFonts w:ascii="Segoe UI" w:eastAsia="Times New Roman" w:hAnsi="Segoe UI" w:cs="Segoe UI"/>
          <w:spacing w:val="1"/>
          <w:sz w:val="21"/>
          <w:szCs w:val="21"/>
          <w:lang w:eastAsia="ru-RU"/>
        </w:rPr>
        <w:t>Оглавление</w:t>
      </w:r>
    </w:p>
    <w:p w:rsidR="004558D2" w:rsidRPr="004558D2" w:rsidRDefault="004558D2" w:rsidP="004558D2">
      <w:pPr>
        <w:numPr>
          <w:ilvl w:val="0"/>
          <w:numId w:val="1"/>
        </w:numPr>
        <w:shd w:val="clear" w:color="auto" w:fill="FFFFFF"/>
        <w:spacing w:before="100" w:beforeAutospacing="1" w:after="103" w:line="240" w:lineRule="auto"/>
        <w:ind w:left="0"/>
        <w:rPr>
          <w:rFonts w:ascii="Segoe UI" w:eastAsia="Times New Roman" w:hAnsi="Segoe UI" w:cs="Segoe UI"/>
          <w:sz w:val="27"/>
          <w:szCs w:val="27"/>
          <w:lang w:eastAsia="ru-RU"/>
        </w:rPr>
      </w:pPr>
      <w:hyperlink r:id="rId5" w:anchor="tehnologicheskie_poteri" w:tgtFrame="_blank" w:history="1">
        <w:r w:rsidRPr="004558D2">
          <w:rPr>
            <w:rFonts w:ascii="Segoe UI" w:eastAsia="Times New Roman" w:hAnsi="Segoe UI" w:cs="Segoe UI"/>
            <w:color w:val="0000FF"/>
            <w:spacing w:val="1"/>
            <w:sz w:val="17"/>
            <w:lang w:eastAsia="ru-RU"/>
          </w:rPr>
          <w:t>Технологические потери</w:t>
        </w:r>
      </w:hyperlink>
    </w:p>
    <w:p w:rsidR="004558D2" w:rsidRPr="004558D2" w:rsidRDefault="004558D2" w:rsidP="004558D2">
      <w:pPr>
        <w:numPr>
          <w:ilvl w:val="0"/>
          <w:numId w:val="1"/>
        </w:numPr>
        <w:shd w:val="clear" w:color="auto" w:fill="FFFFFF"/>
        <w:spacing w:before="100" w:beforeAutospacing="1" w:after="103" w:line="240" w:lineRule="auto"/>
        <w:ind w:left="0"/>
        <w:rPr>
          <w:rFonts w:ascii="Segoe UI" w:eastAsia="Times New Roman" w:hAnsi="Segoe UI" w:cs="Segoe UI"/>
          <w:sz w:val="27"/>
          <w:szCs w:val="27"/>
          <w:lang w:eastAsia="ru-RU"/>
        </w:rPr>
      </w:pPr>
      <w:hyperlink r:id="rId6" w:anchor="otsytstvie_i_zamena_priborov_ycheta" w:tgtFrame="_blank" w:history="1">
        <w:r w:rsidRPr="004558D2">
          <w:rPr>
            <w:rFonts w:ascii="Segoe UI" w:eastAsia="Times New Roman" w:hAnsi="Segoe UI" w:cs="Segoe UI"/>
            <w:color w:val="0000FF"/>
            <w:spacing w:val="1"/>
            <w:sz w:val="17"/>
            <w:lang w:eastAsia="ru-RU"/>
          </w:rPr>
          <w:t>Отсутствие и замена приборов учета</w:t>
        </w:r>
      </w:hyperlink>
    </w:p>
    <w:p w:rsidR="004558D2" w:rsidRPr="004558D2" w:rsidRDefault="004558D2" w:rsidP="004558D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Segoe UI" w:eastAsia="Times New Roman" w:hAnsi="Segoe UI" w:cs="Segoe UI"/>
          <w:sz w:val="27"/>
          <w:szCs w:val="27"/>
          <w:lang w:eastAsia="ru-RU"/>
        </w:rPr>
      </w:pPr>
      <w:hyperlink r:id="rId7" w:anchor="hischenie_eelektroeenergii" w:tgtFrame="_blank" w:history="1">
        <w:r w:rsidRPr="004558D2">
          <w:rPr>
            <w:rFonts w:ascii="Segoe UI" w:eastAsia="Times New Roman" w:hAnsi="Segoe UI" w:cs="Segoe UI"/>
            <w:color w:val="0000FF"/>
            <w:spacing w:val="1"/>
            <w:sz w:val="17"/>
            <w:lang w:eastAsia="ru-RU"/>
          </w:rPr>
          <w:t>Хищение электроэнергии.</w:t>
        </w:r>
      </w:hyperlink>
    </w:p>
    <w:p w:rsidR="004558D2" w:rsidRPr="004558D2" w:rsidRDefault="004558D2" w:rsidP="004558D2">
      <w:pPr>
        <w:shd w:val="clear" w:color="auto" w:fill="FFFFFF"/>
        <w:spacing w:line="240" w:lineRule="auto"/>
        <w:rPr>
          <w:rFonts w:ascii="Segoe UI" w:eastAsia="Times New Roman" w:hAnsi="Segoe UI" w:cs="Segoe UI"/>
          <w:sz w:val="27"/>
          <w:szCs w:val="27"/>
          <w:lang w:eastAsia="ru-RU"/>
        </w:rPr>
      </w:pPr>
      <w:r w:rsidRPr="004558D2">
        <w:rPr>
          <w:rFonts w:ascii="Segoe UI" w:eastAsia="Times New Roman" w:hAnsi="Segoe UI" w:cs="Segoe UI"/>
          <w:sz w:val="27"/>
          <w:szCs w:val="27"/>
          <w:lang w:eastAsia="ru-RU"/>
        </w:rPr>
        <w:t>Показать ещё</w:t>
      </w:r>
    </w:p>
    <w:p w:rsidR="004558D2" w:rsidRP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Недоучет электроэнергии в СНТ является главной проблемой при ведении электрохозяйства. Главными составляющими недоучета электроэнергии являются:</w:t>
      </w:r>
    </w:p>
    <w:p w:rsidR="004558D2" w:rsidRPr="004558D2" w:rsidRDefault="004558D2" w:rsidP="004558D2">
      <w:pPr>
        <w:numPr>
          <w:ilvl w:val="0"/>
          <w:numId w:val="2"/>
        </w:numPr>
        <w:shd w:val="clear" w:color="auto" w:fill="FFFFFF"/>
        <w:spacing w:after="206" w:line="360" w:lineRule="atLeast"/>
        <w:ind w:left="206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Технологические потери;</w:t>
      </w:r>
    </w:p>
    <w:p w:rsidR="004558D2" w:rsidRPr="004558D2" w:rsidRDefault="004558D2" w:rsidP="004558D2">
      <w:pPr>
        <w:numPr>
          <w:ilvl w:val="0"/>
          <w:numId w:val="2"/>
        </w:numPr>
        <w:shd w:val="clear" w:color="auto" w:fill="FFFFFF"/>
        <w:spacing w:after="206" w:line="360" w:lineRule="atLeast"/>
        <w:ind w:left="206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Отсутствие приборов учета;</w:t>
      </w:r>
    </w:p>
    <w:p w:rsidR="004558D2" w:rsidRPr="004558D2" w:rsidRDefault="004558D2" w:rsidP="004558D2">
      <w:pPr>
        <w:numPr>
          <w:ilvl w:val="0"/>
          <w:numId w:val="2"/>
        </w:numPr>
        <w:shd w:val="clear" w:color="auto" w:fill="FFFFFF"/>
        <w:spacing w:after="206" w:line="360" w:lineRule="atLeast"/>
        <w:ind w:left="206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Неправильное подключение приборов учета;</w:t>
      </w:r>
    </w:p>
    <w:p w:rsidR="004558D2" w:rsidRPr="004558D2" w:rsidRDefault="004558D2" w:rsidP="004558D2">
      <w:pPr>
        <w:numPr>
          <w:ilvl w:val="0"/>
          <w:numId w:val="2"/>
        </w:numPr>
        <w:shd w:val="clear" w:color="auto" w:fill="FFFFFF"/>
        <w:spacing w:after="206" w:line="360" w:lineRule="atLeast"/>
        <w:ind w:left="206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Вышедшие из строя приборы учета;</w:t>
      </w:r>
    </w:p>
    <w:p w:rsidR="004558D2" w:rsidRPr="004558D2" w:rsidRDefault="004558D2" w:rsidP="004558D2">
      <w:pPr>
        <w:numPr>
          <w:ilvl w:val="0"/>
          <w:numId w:val="2"/>
        </w:numPr>
        <w:shd w:val="clear" w:color="auto" w:fill="FFFFFF"/>
        <w:spacing w:after="206" w:line="360" w:lineRule="atLeast"/>
        <w:ind w:left="206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Хищение электроэнергии.</w:t>
      </w:r>
    </w:p>
    <w:p w:rsidR="004558D2" w:rsidRP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Для решения проблемы недоучета электроэнергии необходимо организовать ряд мероприятий по каждому из выше перечисленных пунктов.</w:t>
      </w:r>
    </w:p>
    <w:p w:rsidR="004558D2" w:rsidRPr="004558D2" w:rsidRDefault="004558D2" w:rsidP="004558D2">
      <w:pPr>
        <w:shd w:val="clear" w:color="auto" w:fill="FFFFFF"/>
        <w:spacing w:before="437" w:after="77" w:line="360" w:lineRule="atLeast"/>
        <w:outlineLvl w:val="2"/>
        <w:rPr>
          <w:rFonts w:ascii="Segoe UI" w:eastAsia="Times New Roman" w:hAnsi="Segoe UI" w:cs="Segoe UI"/>
          <w:b/>
          <w:bCs/>
          <w:sz w:val="31"/>
          <w:szCs w:val="31"/>
          <w:lang w:eastAsia="ru-RU"/>
        </w:rPr>
      </w:pPr>
      <w:r w:rsidRPr="004558D2">
        <w:rPr>
          <w:rFonts w:ascii="Segoe UI" w:eastAsia="Times New Roman" w:hAnsi="Segoe UI" w:cs="Segoe UI"/>
          <w:b/>
          <w:bCs/>
          <w:sz w:val="31"/>
          <w:szCs w:val="31"/>
          <w:lang w:eastAsia="ru-RU"/>
        </w:rPr>
        <w:t>Технологические потери</w:t>
      </w:r>
    </w:p>
    <w:p w:rsidR="004558D2" w:rsidRPr="004558D2" w:rsidRDefault="004558D2" w:rsidP="004558D2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lang w:eastAsia="ru-RU"/>
        </w:rPr>
      </w:pPr>
      <w:r w:rsidRPr="004558D2">
        <w:rPr>
          <w:rFonts w:ascii="Segoe UI" w:eastAsia="Times New Roman" w:hAnsi="Segoe UI" w:cs="Segoe UI"/>
          <w:i/>
          <w:iCs/>
          <w:lang w:eastAsia="ru-RU"/>
        </w:rPr>
        <w:t>Технологические потери –</w:t>
      </w:r>
      <w:r>
        <w:rPr>
          <w:rFonts w:ascii="Segoe UI" w:eastAsia="Times New Roman" w:hAnsi="Segoe UI" w:cs="Segoe UI"/>
          <w:i/>
          <w:iCs/>
          <w:lang w:eastAsia="ru-RU"/>
        </w:rPr>
        <w:t xml:space="preserve"> </w:t>
      </w:r>
      <w:proofErr w:type="gramStart"/>
      <w:r w:rsidRPr="004558D2">
        <w:rPr>
          <w:rFonts w:ascii="Segoe UI" w:eastAsia="Times New Roman" w:hAnsi="Segoe UI" w:cs="Segoe UI"/>
          <w:i/>
          <w:iCs/>
          <w:lang w:eastAsia="ru-RU"/>
        </w:rPr>
        <w:t>представляют из себя</w:t>
      </w:r>
      <w:proofErr w:type="gramEnd"/>
      <w:r w:rsidRPr="004558D2">
        <w:rPr>
          <w:rFonts w:ascii="Segoe UI" w:eastAsia="Times New Roman" w:hAnsi="Segoe UI" w:cs="Segoe UI"/>
          <w:i/>
          <w:iCs/>
          <w:lang w:eastAsia="ru-RU"/>
        </w:rPr>
        <w:t xml:space="preserve"> потери электроэнергии в трансформаторе и в воздушной линии.</w:t>
      </w:r>
    </w:p>
    <w:p w:rsidR="004558D2" w:rsidRP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Объем технологических потерь составляет от 5 до 7 % от общего объема потребленной электроэнергии всего СНТ, что фиксирует вводной прибор учета расположенный на подстанции. Например</w:t>
      </w:r>
      <w:r>
        <w:rPr>
          <w:rFonts w:ascii="Segoe UI" w:eastAsia="Times New Roman" w:hAnsi="Segoe UI" w:cs="Segoe UI"/>
          <w:lang w:eastAsia="ru-RU"/>
        </w:rPr>
        <w:t>,</w:t>
      </w:r>
      <w:r w:rsidRPr="004558D2">
        <w:rPr>
          <w:rFonts w:ascii="Segoe UI" w:eastAsia="Times New Roman" w:hAnsi="Segoe UI" w:cs="Segoe UI"/>
          <w:lang w:eastAsia="ru-RU"/>
        </w:rPr>
        <w:t xml:space="preserve"> если общий объем потребленной электроэнергии СНТ составляет 20 000 кВт, то технологические потери могут составлять от 1000 кВт до 1400 кВт. Очень часто председатели СНТ обращаются с такой просьбой, провести поиск потерь электроэнергии</w:t>
      </w:r>
      <w:r>
        <w:rPr>
          <w:rFonts w:ascii="Segoe UI" w:eastAsia="Times New Roman" w:hAnsi="Segoe UI" w:cs="Segoe UI"/>
          <w:lang w:eastAsia="ru-RU"/>
        </w:rPr>
        <w:t>.</w:t>
      </w:r>
    </w:p>
    <w:p w:rsidR="004558D2" w:rsidRP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Скажем так</w:t>
      </w:r>
      <w:r>
        <w:rPr>
          <w:rFonts w:ascii="Segoe UI" w:eastAsia="Times New Roman" w:hAnsi="Segoe UI" w:cs="Segoe UI"/>
          <w:lang w:eastAsia="ru-RU"/>
        </w:rPr>
        <w:t>:</w:t>
      </w:r>
      <w:r w:rsidRPr="004558D2">
        <w:rPr>
          <w:rFonts w:ascii="Segoe UI" w:eastAsia="Times New Roman" w:hAnsi="Segoe UI" w:cs="Segoe UI"/>
          <w:lang w:eastAsia="ru-RU"/>
        </w:rPr>
        <w:t xml:space="preserve"> избежать технологических потерь не возможно, так как каждый электроприбор и проводник имеет свое сопротивление, но есть возможность их уменьшить путем использования следующих мероприятий.</w:t>
      </w:r>
    </w:p>
    <w:p w:rsidR="004558D2" w:rsidRP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lastRenderedPageBreak/>
        <w:t>Самым главным мероприятием для исключения технологических потерь является замена проводов на СИП и приведение в порядок мест соединения проводов между собой, методом применения специальных прокалывающих зажимов, наконечников, гильз и прочих матери</w:t>
      </w:r>
      <w:r>
        <w:rPr>
          <w:rFonts w:ascii="Segoe UI" w:eastAsia="Times New Roman" w:hAnsi="Segoe UI" w:cs="Segoe UI"/>
          <w:lang w:eastAsia="ru-RU"/>
        </w:rPr>
        <w:t xml:space="preserve">алов для соединения проводников </w:t>
      </w:r>
      <w:r w:rsidRPr="004558D2">
        <w:rPr>
          <w:rFonts w:ascii="Segoe UI" w:eastAsia="Times New Roman" w:hAnsi="Segoe UI" w:cs="Segoe UI"/>
          <w:highlight w:val="yellow"/>
          <w:lang w:eastAsia="ru-RU"/>
        </w:rPr>
        <w:t>(это используется в ДНТ Вымпел)</w:t>
      </w:r>
    </w:p>
    <w:p w:rsidR="004558D2" w:rsidRPr="004558D2" w:rsidRDefault="004558D2" w:rsidP="004558D2">
      <w:pPr>
        <w:shd w:val="clear" w:color="auto" w:fill="FFFFFF"/>
        <w:spacing w:before="437" w:after="77" w:line="360" w:lineRule="atLeast"/>
        <w:outlineLvl w:val="2"/>
        <w:rPr>
          <w:rFonts w:ascii="Segoe UI" w:eastAsia="Times New Roman" w:hAnsi="Segoe UI" w:cs="Segoe UI"/>
          <w:b/>
          <w:bCs/>
          <w:sz w:val="31"/>
          <w:szCs w:val="31"/>
          <w:lang w:eastAsia="ru-RU"/>
        </w:rPr>
      </w:pPr>
      <w:r w:rsidRPr="004558D2">
        <w:rPr>
          <w:rFonts w:ascii="Segoe UI" w:eastAsia="Times New Roman" w:hAnsi="Segoe UI" w:cs="Segoe UI"/>
          <w:b/>
          <w:bCs/>
          <w:sz w:val="31"/>
          <w:szCs w:val="31"/>
          <w:lang w:eastAsia="ru-RU"/>
        </w:rPr>
        <w:t>Отсутствие и замена приборов учета</w:t>
      </w:r>
    </w:p>
    <w:p w:rsidR="004558D2" w:rsidRP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 xml:space="preserve">Далее необходимо провести анализ на факт наличия приборов учета у всех потребителей и присоединений к воздушной линии. Это </w:t>
      </w:r>
      <w:proofErr w:type="gramStart"/>
      <w:r w:rsidRPr="004558D2">
        <w:rPr>
          <w:rFonts w:ascii="Segoe UI" w:eastAsia="Times New Roman" w:hAnsi="Segoe UI" w:cs="Segoe UI"/>
          <w:lang w:eastAsia="ru-RU"/>
        </w:rPr>
        <w:t>такие</w:t>
      </w:r>
      <w:proofErr w:type="gramEnd"/>
      <w:r>
        <w:rPr>
          <w:rFonts w:ascii="Segoe UI" w:eastAsia="Times New Roman" w:hAnsi="Segoe UI" w:cs="Segoe UI"/>
          <w:lang w:eastAsia="ru-RU"/>
        </w:rPr>
        <w:t>,</w:t>
      </w:r>
      <w:r w:rsidRPr="004558D2">
        <w:rPr>
          <w:rFonts w:ascii="Segoe UI" w:eastAsia="Times New Roman" w:hAnsi="Segoe UI" w:cs="Segoe UI"/>
          <w:lang w:eastAsia="ru-RU"/>
        </w:rPr>
        <w:t xml:space="preserve"> как:</w:t>
      </w:r>
    </w:p>
    <w:p w:rsidR="004558D2" w:rsidRPr="004558D2" w:rsidRDefault="004558D2" w:rsidP="004558D2">
      <w:pPr>
        <w:numPr>
          <w:ilvl w:val="0"/>
          <w:numId w:val="3"/>
        </w:numPr>
        <w:shd w:val="clear" w:color="auto" w:fill="FFFFFF"/>
        <w:spacing w:after="206" w:line="360" w:lineRule="atLeast"/>
        <w:ind w:left="206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индивидуальные приборы учета (далее ИПУ);</w:t>
      </w:r>
    </w:p>
    <w:p w:rsidR="004558D2" w:rsidRPr="004558D2" w:rsidRDefault="004558D2" w:rsidP="004558D2">
      <w:pPr>
        <w:numPr>
          <w:ilvl w:val="0"/>
          <w:numId w:val="3"/>
        </w:numPr>
        <w:shd w:val="clear" w:color="auto" w:fill="FFFFFF"/>
        <w:spacing w:after="206" w:line="360" w:lineRule="atLeast"/>
        <w:ind w:left="206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приборы учета на каждую линию (улицу);</w:t>
      </w:r>
    </w:p>
    <w:p w:rsidR="004558D2" w:rsidRPr="004558D2" w:rsidRDefault="004558D2" w:rsidP="004558D2">
      <w:pPr>
        <w:numPr>
          <w:ilvl w:val="0"/>
          <w:numId w:val="3"/>
        </w:numPr>
        <w:shd w:val="clear" w:color="auto" w:fill="FFFFFF"/>
        <w:spacing w:after="206" w:line="360" w:lineRule="atLeast"/>
        <w:ind w:left="206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прибо</w:t>
      </w:r>
      <w:r>
        <w:rPr>
          <w:rFonts w:ascii="Segoe UI" w:eastAsia="Times New Roman" w:hAnsi="Segoe UI" w:cs="Segoe UI"/>
          <w:lang w:eastAsia="ru-RU"/>
        </w:rPr>
        <w:t>ры учета на уличное освещение (</w:t>
      </w:r>
      <w:r w:rsidRPr="004558D2">
        <w:rPr>
          <w:rFonts w:ascii="Segoe UI" w:eastAsia="Times New Roman" w:hAnsi="Segoe UI" w:cs="Segoe UI"/>
          <w:lang w:eastAsia="ru-RU"/>
        </w:rPr>
        <w:t xml:space="preserve">как </w:t>
      </w:r>
      <w:proofErr w:type="gramStart"/>
      <w:r w:rsidRPr="004558D2">
        <w:rPr>
          <w:rFonts w:ascii="Segoe UI" w:eastAsia="Times New Roman" w:hAnsi="Segoe UI" w:cs="Segoe UI"/>
          <w:lang w:eastAsia="ru-RU"/>
        </w:rPr>
        <w:t>правило</w:t>
      </w:r>
      <w:proofErr w:type="gramEnd"/>
      <w:r w:rsidRPr="004558D2">
        <w:rPr>
          <w:rFonts w:ascii="Segoe UI" w:eastAsia="Times New Roman" w:hAnsi="Segoe UI" w:cs="Segoe UI"/>
          <w:lang w:eastAsia="ru-RU"/>
        </w:rPr>
        <w:t xml:space="preserve"> используется отдельная линия для уличного освещения);</w:t>
      </w:r>
    </w:p>
    <w:p w:rsidR="004558D2" w:rsidRP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>Если приборы учета установлены в дачных домах и если они вообще у кого то отсутствуют, их необходимо установить на опорах воздушной линии (</w:t>
      </w:r>
      <w:proofErr w:type="gramStart"/>
      <w:r w:rsidRPr="004558D2">
        <w:rPr>
          <w:rFonts w:ascii="Segoe UI" w:eastAsia="Times New Roman" w:hAnsi="Segoe UI" w:cs="Segoe UI"/>
          <w:lang w:eastAsia="ru-RU"/>
        </w:rPr>
        <w:t>ВЛ</w:t>
      </w:r>
      <w:proofErr w:type="gramEnd"/>
      <w:r w:rsidRPr="004558D2">
        <w:rPr>
          <w:rFonts w:ascii="Segoe UI" w:eastAsia="Times New Roman" w:hAnsi="Segoe UI" w:cs="Segoe UI"/>
          <w:lang w:eastAsia="ru-RU"/>
        </w:rPr>
        <w:t>) для исключения возможности вмешательства в работу прибора учета.</w:t>
      </w:r>
    </w:p>
    <w:p w:rsidR="004558D2" w:rsidRP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 xml:space="preserve">Так же необходимо обратиться к специалистам для проведения </w:t>
      </w:r>
      <w:proofErr w:type="gramStart"/>
      <w:r w:rsidRPr="004558D2">
        <w:rPr>
          <w:rFonts w:ascii="Segoe UI" w:eastAsia="Times New Roman" w:hAnsi="Segoe UI" w:cs="Segoe UI"/>
          <w:highlight w:val="yellow"/>
          <w:lang w:eastAsia="ru-RU"/>
        </w:rPr>
        <w:t>проверки правильности работы приборов учета</w:t>
      </w:r>
      <w:proofErr w:type="gramEnd"/>
      <w:r w:rsidRPr="004558D2">
        <w:rPr>
          <w:rFonts w:ascii="Segoe UI" w:eastAsia="Times New Roman" w:hAnsi="Segoe UI" w:cs="Segoe UI"/>
          <w:highlight w:val="yellow"/>
          <w:lang w:eastAsia="ru-RU"/>
        </w:rPr>
        <w:t xml:space="preserve"> с последующей их опломбировкой и составлением актов допуска приборов учета в эксплуатацию.</w:t>
      </w:r>
      <w:r w:rsidRPr="004558D2">
        <w:rPr>
          <w:rFonts w:ascii="Segoe UI" w:eastAsia="Times New Roman" w:hAnsi="Segoe UI" w:cs="Segoe UI"/>
          <w:lang w:eastAsia="ru-RU"/>
        </w:rPr>
        <w:t xml:space="preserve"> Приборы учета не прошедшие проверку бракуются и меняются на новые, обязательно с составлением акта замены прибора учета и последующей опломбировкой </w:t>
      </w:r>
      <w:proofErr w:type="gramStart"/>
      <w:r w:rsidRPr="004558D2">
        <w:rPr>
          <w:rFonts w:ascii="Segoe UI" w:eastAsia="Times New Roman" w:hAnsi="Segoe UI" w:cs="Segoe UI"/>
          <w:lang w:eastAsia="ru-RU"/>
        </w:rPr>
        <w:t>последних</w:t>
      </w:r>
      <w:proofErr w:type="gramEnd"/>
      <w:r w:rsidRPr="004558D2">
        <w:rPr>
          <w:rFonts w:ascii="Segoe UI" w:eastAsia="Times New Roman" w:hAnsi="Segoe UI" w:cs="Segoe UI"/>
          <w:lang w:eastAsia="ru-RU"/>
        </w:rPr>
        <w:t>.</w:t>
      </w:r>
    </w:p>
    <w:p w:rsidR="004558D2" w:rsidRPr="004558D2" w:rsidRDefault="004558D2" w:rsidP="004558D2">
      <w:pPr>
        <w:shd w:val="clear" w:color="auto" w:fill="FFFFFF"/>
        <w:spacing w:before="437" w:after="77" w:line="360" w:lineRule="atLeast"/>
        <w:outlineLvl w:val="2"/>
        <w:rPr>
          <w:rFonts w:ascii="Segoe UI" w:eastAsia="Times New Roman" w:hAnsi="Segoe UI" w:cs="Segoe UI"/>
          <w:b/>
          <w:bCs/>
          <w:sz w:val="31"/>
          <w:szCs w:val="31"/>
          <w:lang w:eastAsia="ru-RU"/>
        </w:rPr>
      </w:pPr>
      <w:r w:rsidRPr="004558D2">
        <w:rPr>
          <w:rFonts w:ascii="Segoe UI" w:eastAsia="Times New Roman" w:hAnsi="Segoe UI" w:cs="Segoe UI"/>
          <w:b/>
          <w:bCs/>
          <w:sz w:val="31"/>
          <w:szCs w:val="31"/>
          <w:lang w:eastAsia="ru-RU"/>
        </w:rPr>
        <w:t>Хищение электроэнергии.</w:t>
      </w:r>
    </w:p>
    <w:p w:rsidR="004558D2" w:rsidRDefault="004558D2" w:rsidP="004558D2">
      <w:pPr>
        <w:shd w:val="clear" w:color="auto" w:fill="FFFFFF"/>
        <w:spacing w:before="77" w:after="257" w:line="360" w:lineRule="atLeast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lang w:eastAsia="ru-RU"/>
        </w:rPr>
        <w:t xml:space="preserve">Ну и </w:t>
      </w:r>
      <w:proofErr w:type="gramStart"/>
      <w:r w:rsidRPr="004558D2">
        <w:rPr>
          <w:rFonts w:ascii="Segoe UI" w:eastAsia="Times New Roman" w:hAnsi="Segoe UI" w:cs="Segoe UI"/>
          <w:lang w:eastAsia="ru-RU"/>
        </w:rPr>
        <w:t>на</w:t>
      </w:r>
      <w:proofErr w:type="gramEnd"/>
      <w:r w:rsidRPr="004558D2">
        <w:rPr>
          <w:rFonts w:ascii="Segoe UI" w:eastAsia="Times New Roman" w:hAnsi="Segoe UI" w:cs="Segoe UI"/>
          <w:lang w:eastAsia="ru-RU"/>
        </w:rPr>
        <w:t xml:space="preserve"> </w:t>
      </w:r>
      <w:proofErr w:type="gramStart"/>
      <w:r w:rsidRPr="004558D2">
        <w:rPr>
          <w:rFonts w:ascii="Segoe UI" w:eastAsia="Times New Roman" w:hAnsi="Segoe UI" w:cs="Segoe UI"/>
          <w:lang w:eastAsia="ru-RU"/>
        </w:rPr>
        <w:t>последок</w:t>
      </w:r>
      <w:proofErr w:type="gramEnd"/>
      <w:r w:rsidRPr="004558D2">
        <w:rPr>
          <w:rFonts w:ascii="Segoe UI" w:eastAsia="Times New Roman" w:hAnsi="Segoe UI" w:cs="Segoe UI"/>
          <w:lang w:eastAsia="ru-RU"/>
        </w:rPr>
        <w:t xml:space="preserve"> стоит остановиться на самой не приятной и острой проблеме, это хищение электроэнергии недобросовестными садоводами. Существует несколько способов хищения электроэнергии и основными из них являются: вмешательство в правильность работы прибо</w:t>
      </w:r>
      <w:r>
        <w:rPr>
          <w:rFonts w:ascii="Segoe UI" w:eastAsia="Times New Roman" w:hAnsi="Segoe UI" w:cs="Segoe UI"/>
          <w:lang w:eastAsia="ru-RU"/>
        </w:rPr>
        <w:t>ра учета. По</w:t>
      </w:r>
      <w:r w:rsidRPr="004558D2">
        <w:rPr>
          <w:rFonts w:ascii="Segoe UI" w:eastAsia="Times New Roman" w:hAnsi="Segoe UI" w:cs="Segoe UI"/>
          <w:lang w:eastAsia="ru-RU"/>
        </w:rPr>
        <w:t xml:space="preserve">этому не стоит экономить на мероприятиях по проверке приборов учета. </w:t>
      </w:r>
      <w:proofErr w:type="gramStart"/>
      <w:r w:rsidRPr="004558D2">
        <w:rPr>
          <w:rFonts w:ascii="Segoe UI" w:eastAsia="Times New Roman" w:hAnsi="Segoe UI" w:cs="Segoe UI"/>
          <w:lang w:eastAsia="ru-RU"/>
        </w:rPr>
        <w:t>И обязательно необходимо обращаться с этой проблемой к организациям</w:t>
      </w:r>
      <w:r>
        <w:rPr>
          <w:rFonts w:ascii="Segoe UI" w:eastAsia="Times New Roman" w:hAnsi="Segoe UI" w:cs="Segoe UI"/>
          <w:lang w:eastAsia="ru-RU"/>
        </w:rPr>
        <w:t xml:space="preserve"> (специалистам)</w:t>
      </w:r>
      <w:r w:rsidRPr="004558D2">
        <w:rPr>
          <w:rFonts w:ascii="Segoe UI" w:eastAsia="Times New Roman" w:hAnsi="Segoe UI" w:cs="Segoe UI"/>
          <w:lang w:eastAsia="ru-RU"/>
        </w:rPr>
        <w:t>, к</w:t>
      </w:r>
      <w:r>
        <w:rPr>
          <w:rFonts w:ascii="Segoe UI" w:eastAsia="Times New Roman" w:hAnsi="Segoe UI" w:cs="Segoe UI"/>
          <w:lang w:eastAsia="ru-RU"/>
        </w:rPr>
        <w:t xml:space="preserve">оторые на этом специализируются </w:t>
      </w:r>
      <w:r w:rsidRPr="004558D2">
        <w:rPr>
          <w:rFonts w:ascii="Segoe UI" w:eastAsia="Times New Roman" w:hAnsi="Segoe UI" w:cs="Segoe UI"/>
          <w:highlight w:val="yellow"/>
          <w:lang w:eastAsia="ru-RU"/>
        </w:rPr>
        <w:t>(энергетик Товарищества ранее работал в РЭС, имеет большой опыт. Мы закупили магнитные пломбы, будем в течение лета проверять и опломбировать приборы учета).</w:t>
      </w:r>
      <w:proofErr w:type="gramEnd"/>
    </w:p>
    <w:p w:rsidR="004558D2" w:rsidRPr="004558D2" w:rsidRDefault="004558D2" w:rsidP="004558D2">
      <w:pPr>
        <w:shd w:val="clear" w:color="auto" w:fill="FFFFFF"/>
        <w:spacing w:before="77" w:after="257" w:line="360" w:lineRule="atLeast"/>
        <w:ind w:firstLine="708"/>
        <w:rPr>
          <w:rFonts w:ascii="Segoe UI" w:eastAsia="Times New Roman" w:hAnsi="Segoe UI" w:cs="Segoe UI"/>
          <w:lang w:eastAsia="ru-RU"/>
        </w:rPr>
      </w:pPr>
      <w:r w:rsidRPr="004558D2">
        <w:rPr>
          <w:rFonts w:ascii="Segoe UI" w:eastAsia="Times New Roman" w:hAnsi="Segoe UI" w:cs="Segoe UI"/>
          <w:highlight w:val="cyan"/>
          <w:lang w:eastAsia="ru-RU"/>
        </w:rPr>
        <w:t>При проверке будем решать поиск узких мест и проблему возникающего  дефицита денежных сре</w:t>
      </w:r>
      <w:proofErr w:type="gramStart"/>
      <w:r w:rsidRPr="004558D2">
        <w:rPr>
          <w:rFonts w:ascii="Segoe UI" w:eastAsia="Times New Roman" w:hAnsi="Segoe UI" w:cs="Segoe UI"/>
          <w:highlight w:val="cyan"/>
          <w:lang w:eastAsia="ru-RU"/>
        </w:rPr>
        <w:t>дств пр</w:t>
      </w:r>
      <w:proofErr w:type="gramEnd"/>
      <w:r w:rsidRPr="004558D2">
        <w:rPr>
          <w:rFonts w:ascii="Segoe UI" w:eastAsia="Times New Roman" w:hAnsi="Segoe UI" w:cs="Segoe UI"/>
          <w:highlight w:val="cyan"/>
          <w:lang w:eastAsia="ru-RU"/>
        </w:rPr>
        <w:t>и оплате потребленной электроэнергии.</w:t>
      </w:r>
    </w:p>
    <w:p w:rsidR="00547108" w:rsidRDefault="00547108"/>
    <w:sectPr w:rsidR="00547108" w:rsidSect="00547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C950C4"/>
    <w:multiLevelType w:val="multilevel"/>
    <w:tmpl w:val="091E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210B2"/>
    <w:multiLevelType w:val="multilevel"/>
    <w:tmpl w:val="43D4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0E18DB"/>
    <w:multiLevelType w:val="multilevel"/>
    <w:tmpl w:val="5AF6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savePreviewPicture/>
  <w:compat/>
  <w:rsids>
    <w:rsidRoot w:val="004558D2"/>
    <w:rsid w:val="004558D2"/>
    <w:rsid w:val="00547108"/>
    <w:rsid w:val="00C06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108"/>
  </w:style>
  <w:style w:type="paragraph" w:styleId="1">
    <w:name w:val="heading 1"/>
    <w:basedOn w:val="a"/>
    <w:link w:val="10"/>
    <w:uiPriority w:val="9"/>
    <w:qFormat/>
    <w:rsid w:val="004558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58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558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8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58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558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content--article-info-blocklongformat-xq">
    <w:name w:val="content--article-info-block__longformat-xq"/>
    <w:basedOn w:val="a0"/>
    <w:rsid w:val="004558D2"/>
  </w:style>
  <w:style w:type="character" w:styleId="a3">
    <w:name w:val="Hyperlink"/>
    <w:basedOn w:val="a0"/>
    <w:uiPriority w:val="99"/>
    <w:semiHidden/>
    <w:unhideWhenUsed/>
    <w:rsid w:val="004558D2"/>
    <w:rPr>
      <w:color w:val="0000FF"/>
      <w:u w:val="single"/>
    </w:rPr>
  </w:style>
  <w:style w:type="character" w:customStyle="1" w:styleId="content--article-navigationlistitemtext-3y">
    <w:name w:val="content--article-navigation__listitemtext-3y"/>
    <w:basedOn w:val="a0"/>
    <w:rsid w:val="004558D2"/>
  </w:style>
  <w:style w:type="paragraph" w:customStyle="1" w:styleId="content--common-blockblock-3u">
    <w:name w:val="content--common-block__block-3u"/>
    <w:basedOn w:val="a"/>
    <w:rsid w:val="004558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034">
              <w:marLeft w:val="0"/>
              <w:marRight w:val="0"/>
              <w:marTop w:val="0"/>
              <w:marBottom w:val="2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8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42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48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17416">
                          <w:marLeft w:val="0"/>
                          <w:marRight w:val="15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0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356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85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9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578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divBdr>
                  <w:divsChild>
                    <w:div w:id="93424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773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1449375">
              <w:marLeft w:val="0"/>
              <w:marRight w:val="0"/>
              <w:marTop w:val="257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40331">
                  <w:marLeft w:val="0"/>
                  <w:marRight w:val="0"/>
                  <w:marTop w:val="0"/>
                  <w:marBottom w:val="1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2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0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59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83719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zen.ru/a/aH9hdlwueSHvygv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zen.ru/a/aH9hdlwueSHvygvl" TargetMode="External"/><Relationship Id="rId5" Type="http://schemas.openxmlformats.org/officeDocument/2006/relationships/hyperlink" Target="https://dzen.ru/a/aH9hdlwueSHvygv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538</Words>
  <Characters>3073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2026-05-23T12:47:00Z</dcterms:created>
  <dcterms:modified xsi:type="dcterms:W3CDTF">2026-05-23T12:47:00Z</dcterms:modified>
</cp:coreProperties>
</file>